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0512"/>
      </w:tblGrid>
      <w:tr>
        <w:tc>
          <w:tcPr>
            <w:tcW w:type="dxa" w:w="10656"/>
            <w:shd w:fill="005B96"/>
            <w:tcBorders>
              <w:top w:val="single" w:sz="4" w:space="0" w:color="005B96"/>
              <w:left w:val="single" w:sz="4" w:space="0" w:color="005B96"/>
              <w:bottom w:val="single" w:sz="4" w:space="0" w:color="005B96"/>
              <w:right w:val="single" w:sz="4" w:space="0" w:color="005B96"/>
            </w:tcBorders>
          </w:tcPr>
          <w:p>
            <w:pPr>
              <w:spacing w:before="120" w:after="120"/>
              <w:jc w:val="center"/>
            </w:pPr>
            <w:r>
              <w:rPr>
                <w:rFonts w:ascii="Arial" w:hAnsi="Arial" w:eastAsia="Arial"/>
                <w:b/>
                <w:color w:val="FFFFFF"/>
                <w:sz w:val="24"/>
              </w:rPr>
              <w:t>INFORME EJECUTIVO DE INFANCIA – SÍNTESIS DIRECTIVA</w:t>
              <w:br/>
            </w:r>
            <w:r>
              <w:rPr>
                <w:rFonts w:ascii="Arial" w:hAnsi="Arial" w:eastAsia="Arial"/>
                <w:b w:val="0"/>
                <w:color w:val="FFFFFF"/>
                <w:sz w:val="20"/>
              </w:rPr>
              <w:t>Comportamiento poblacional y afiliación de niños y niñas de 0 a 9 años, Bogotá D.C., 2021-2025</w:t>
            </w:r>
          </w:p>
        </w:tc>
      </w:tr>
    </w:tbl>
    <w:p>
      <w:pPr>
        <w:spacing w:before="100" w:after="80" w:line="240" w:lineRule="auto"/>
      </w:pPr>
      <w:r>
        <w:rPr>
          <w:rFonts w:ascii="Arial" w:hAnsi="Arial" w:eastAsia="Arial"/>
          <w:b/>
          <w:color w:val="005B96"/>
          <w:sz w:val="21"/>
        </w:rPr>
        <w:t>1. Propósito y alcance</w:t>
      </w:r>
    </w:p>
    <w:p>
      <w:pPr>
        <w:spacing w:before="0" w:after="100" w:line="252" w:lineRule="auto"/>
      </w:pPr>
      <w:r>
        <w:rPr>
          <w:rFonts w:ascii="Arial" w:hAnsi="Arial" w:eastAsia="Arial"/>
          <w:b w:val="0"/>
          <w:color w:val="1F2937"/>
          <w:sz w:val="20"/>
        </w:rPr>
        <w:t>Este documento resume los hallazgos principales del informe final de infancia, integrando el contexto poblacional DANE y la afiliación observada en BDUA/ADRES para niños y niñas de 0 a 9 años durante el periodo 2021-2025. El enfoque es ejecutivo, comparativo y orientado a decisiones de aseguramiento, salud pública y planeación territorial.</w:t>
      </w:r>
    </w:p>
    <w:p>
      <w:pPr>
        <w:spacing w:before="0" w:after="100" w:line="252" w:lineRule="auto"/>
      </w:pPr>
      <w:r>
        <w:rPr>
          <w:rFonts w:ascii="Arial" w:hAnsi="Arial" w:eastAsia="Arial"/>
          <w:b w:val="0"/>
          <w:color w:val="4B5563"/>
          <w:sz w:val="19"/>
        </w:rPr>
        <w:t>Nota metodológica: DANE se utiliza como referente poblacional y BDUA/ADRES como fuente administrativa de afiliación al SGSSS; por tanto, las diferencias entre fuentes no deben interpretarse automáticamente como población no afiliada.</w:t>
      </w:r>
    </w:p>
    <w:p>
      <w:pPr>
        <w:spacing w:before="100" w:after="80" w:line="240" w:lineRule="auto"/>
      </w:pPr>
      <w:r>
        <w:rPr>
          <w:rFonts w:ascii="Arial" w:hAnsi="Arial" w:eastAsia="Arial"/>
          <w:b/>
          <w:color w:val="005B96"/>
          <w:sz w:val="21"/>
        </w:rPr>
        <w:t>2. Indicadores clave que sustentan el análisis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552"/>
        <w:gridCol w:w="3552"/>
        <w:gridCol w:w="3552"/>
      </w:tblGrid>
      <w:tr>
        <w:tc>
          <w:tcPr>
            <w:tcW w:type="dxa" w:w="2376"/>
            <w:vAlign w:val="center"/>
            <w:tcBorders>
              <w:top w:val="single" w:sz="4" w:space="0" w:color="D7DEE8"/>
              <w:left w:val="single" w:sz="4" w:space="0" w:color="D7DEE8"/>
              <w:bottom w:val="single" w:sz="4" w:space="0" w:color="D7DEE8"/>
              <w:right w:val="single" w:sz="4" w:space="0" w:color="D7DEE8"/>
            </w:tcBorders>
            <w:shd w:fill="0B5CAD"/>
          </w:tcPr>
          <w:p>
            <w:pPr>
              <w:spacing w:before="0" w:after="0" w:line="240" w:lineRule="auto"/>
              <w:jc w:val="center"/>
            </w:pPr>
            <w:r/>
            <w:r>
              <w:rPr>
                <w:rFonts w:ascii="Arial" w:hAnsi="Arial" w:eastAsia="Arial"/>
                <w:b/>
                <w:color w:val="FFFFFF"/>
                <w:sz w:val="18"/>
              </w:rPr>
              <w:t>Indicador</w:t>
            </w:r>
          </w:p>
        </w:tc>
        <w:tc>
          <w:tcPr>
            <w:tcW w:type="dxa" w:w="3384"/>
            <w:vAlign w:val="center"/>
            <w:tcBorders>
              <w:top w:val="single" w:sz="4" w:space="0" w:color="D7DEE8"/>
              <w:left w:val="single" w:sz="4" w:space="0" w:color="D7DEE8"/>
              <w:bottom w:val="single" w:sz="4" w:space="0" w:color="D7DEE8"/>
              <w:right w:val="single" w:sz="4" w:space="0" w:color="D7DEE8"/>
            </w:tcBorders>
            <w:shd w:fill="0B5CAD"/>
          </w:tcPr>
          <w:p>
            <w:pPr>
              <w:spacing w:before="0" w:after="0" w:line="240" w:lineRule="auto"/>
              <w:jc w:val="center"/>
            </w:pPr>
            <w:r/>
            <w:r>
              <w:rPr>
                <w:rFonts w:ascii="Arial" w:hAnsi="Arial" w:eastAsia="Arial"/>
                <w:b/>
                <w:color w:val="FFFFFF"/>
                <w:sz w:val="18"/>
              </w:rPr>
              <w:t>Dato principal</w:t>
            </w:r>
          </w:p>
        </w:tc>
        <w:tc>
          <w:tcPr>
            <w:tcW w:type="dxa" w:w="4608"/>
            <w:vAlign w:val="center"/>
            <w:tcBorders>
              <w:top w:val="single" w:sz="4" w:space="0" w:color="D7DEE8"/>
              <w:left w:val="single" w:sz="4" w:space="0" w:color="D7DEE8"/>
              <w:bottom w:val="single" w:sz="4" w:space="0" w:color="D7DEE8"/>
              <w:right w:val="single" w:sz="4" w:space="0" w:color="D7DEE8"/>
            </w:tcBorders>
            <w:shd w:fill="0B5CAD"/>
          </w:tcPr>
          <w:p>
            <w:pPr>
              <w:spacing w:before="0" w:after="0" w:line="240" w:lineRule="auto"/>
              <w:jc w:val="center"/>
            </w:pPr>
            <w:r/>
            <w:r>
              <w:rPr>
                <w:rFonts w:ascii="Arial" w:hAnsi="Arial" w:eastAsia="Arial"/>
                <w:b/>
                <w:color w:val="FFFFFF"/>
                <w:sz w:val="18"/>
              </w:rPr>
              <w:t>Lectura ejecutiva</w:t>
            </w:r>
          </w:p>
        </w:tc>
      </w:tr>
      <w:tr>
        <w:tc>
          <w:tcPr>
            <w:tcW w:type="dxa" w:w="2376"/>
            <w:vAlign w:val="center"/>
            <w:tcBorders>
              <w:top w:val="single" w:sz="4" w:space="0" w:color="D7DEE8"/>
              <w:left w:val="single" w:sz="4" w:space="0" w:color="D7DEE8"/>
              <w:bottom w:val="single" w:sz="4" w:space="0" w:color="D7DEE8"/>
              <w:right w:val="single" w:sz="4" w:space="0" w:color="D7DEE8"/>
            </w:tcBorders>
            <w:shd w:fill="FFFFFF"/>
          </w:tcPr>
          <w:p>
            <w:pPr>
              <w:spacing w:before="0" w:after="0" w:line="240" w:lineRule="auto"/>
            </w:pPr>
            <w:r/>
            <w:r>
              <w:rPr>
                <w:rFonts w:ascii="Arial" w:hAnsi="Arial" w:eastAsia="Arial"/>
                <w:b/>
                <w:color w:val="1F2937"/>
                <w:sz w:val="17"/>
              </w:rPr>
              <w:t>Población DANE 0-9</w:t>
            </w:r>
          </w:p>
        </w:tc>
        <w:tc>
          <w:tcPr>
            <w:tcW w:type="dxa" w:w="3384"/>
            <w:vAlign w:val="center"/>
            <w:tcBorders>
              <w:top w:val="single" w:sz="4" w:space="0" w:color="D7DEE8"/>
              <w:left w:val="single" w:sz="4" w:space="0" w:color="D7DEE8"/>
              <w:bottom w:val="single" w:sz="4" w:space="0" w:color="D7DEE8"/>
              <w:right w:val="single" w:sz="4" w:space="0" w:color="D7DEE8"/>
            </w:tcBorders>
            <w:shd w:fill="FFFFFF"/>
          </w:tcPr>
          <w:p>
            <w:pPr>
              <w:spacing w:before="0" w:after="0" w:line="240" w:lineRule="auto"/>
            </w:pPr>
            <w:r/>
            <w:r>
              <w:rPr>
                <w:rFonts w:ascii="Arial" w:hAnsi="Arial" w:eastAsia="Arial"/>
                <w:b w:val="0"/>
                <w:color w:val="1F2937"/>
                <w:sz w:val="17"/>
              </w:rPr>
              <w:t>1.207.562 (2021) → 1.142.102 (2025)</w:t>
              <w:br/>
              <w:t>-65.460 personas (-5,4%)</w:t>
            </w:r>
          </w:p>
        </w:tc>
        <w:tc>
          <w:tcPr>
            <w:tcW w:type="dxa" w:w="4608"/>
            <w:vAlign w:val="center"/>
            <w:tcBorders>
              <w:top w:val="single" w:sz="4" w:space="0" w:color="D7DEE8"/>
              <w:left w:val="single" w:sz="4" w:space="0" w:color="D7DEE8"/>
              <w:bottom w:val="single" w:sz="4" w:space="0" w:color="D7DEE8"/>
              <w:right w:val="single" w:sz="4" w:space="0" w:color="D7DEE8"/>
            </w:tcBorders>
            <w:shd w:fill="FFFFFF"/>
          </w:tcPr>
          <w:p>
            <w:pPr>
              <w:spacing w:before="0" w:after="0" w:line="240" w:lineRule="auto"/>
            </w:pPr>
            <w:r/>
            <w:r>
              <w:rPr>
                <w:rFonts w:ascii="Arial" w:hAnsi="Arial" w:eastAsia="Arial"/>
                <w:b w:val="0"/>
                <w:color w:val="1F2937"/>
                <w:sz w:val="17"/>
              </w:rPr>
              <w:t>Disminución moderada de la población infantil de referencia.</w:t>
            </w:r>
          </w:p>
        </w:tc>
      </w:tr>
      <w:tr>
        <w:tc>
          <w:tcPr>
            <w:tcW w:type="dxa" w:w="2376"/>
            <w:vAlign w:val="center"/>
            <w:tcBorders>
              <w:top w:val="single" w:sz="4" w:space="0" w:color="D7DEE8"/>
              <w:left w:val="single" w:sz="4" w:space="0" w:color="D7DEE8"/>
              <w:bottom w:val="single" w:sz="4" w:space="0" w:color="D7DEE8"/>
              <w:right w:val="single" w:sz="4" w:space="0" w:color="D7DEE8"/>
            </w:tcBorders>
            <w:shd w:fill="F7FAFC"/>
          </w:tcPr>
          <w:p>
            <w:pPr>
              <w:spacing w:before="0" w:after="0" w:line="240" w:lineRule="auto"/>
            </w:pPr>
            <w:r/>
            <w:r>
              <w:rPr>
                <w:rFonts w:ascii="Arial" w:hAnsi="Arial" w:eastAsia="Arial"/>
                <w:b/>
                <w:color w:val="1F2937"/>
                <w:sz w:val="17"/>
              </w:rPr>
              <w:t>Afiliación BDUA/ADRES 0-9</w:t>
            </w:r>
          </w:p>
        </w:tc>
        <w:tc>
          <w:tcPr>
            <w:tcW w:type="dxa" w:w="3384"/>
            <w:vAlign w:val="center"/>
            <w:tcBorders>
              <w:top w:val="single" w:sz="4" w:space="0" w:color="D7DEE8"/>
              <w:left w:val="single" w:sz="4" w:space="0" w:color="D7DEE8"/>
              <w:bottom w:val="single" w:sz="4" w:space="0" w:color="D7DEE8"/>
              <w:right w:val="single" w:sz="4" w:space="0" w:color="D7DEE8"/>
            </w:tcBorders>
            <w:shd w:fill="F7FAFC"/>
          </w:tcPr>
          <w:p>
            <w:pPr>
              <w:spacing w:before="0" w:after="0" w:line="240" w:lineRule="auto"/>
            </w:pPr>
            <w:r/>
            <w:r>
              <w:rPr>
                <w:rFonts w:ascii="Arial" w:hAnsi="Arial" w:eastAsia="Arial"/>
                <w:b w:val="0"/>
                <w:color w:val="1F2937"/>
                <w:sz w:val="17"/>
              </w:rPr>
              <w:t>870.207 (2021) → 721.348 (2025)</w:t>
              <w:br/>
              <w:t>-148.859 afiliados (-17,1%)</w:t>
            </w:r>
          </w:p>
        </w:tc>
        <w:tc>
          <w:tcPr>
            <w:tcW w:type="dxa" w:w="4608"/>
            <w:vAlign w:val="center"/>
            <w:tcBorders>
              <w:top w:val="single" w:sz="4" w:space="0" w:color="D7DEE8"/>
              <w:left w:val="single" w:sz="4" w:space="0" w:color="D7DEE8"/>
              <w:bottom w:val="single" w:sz="4" w:space="0" w:color="D7DEE8"/>
              <w:right w:val="single" w:sz="4" w:space="0" w:color="D7DEE8"/>
            </w:tcBorders>
            <w:shd w:fill="F7FAFC"/>
          </w:tcPr>
          <w:p>
            <w:pPr>
              <w:spacing w:before="0" w:after="0" w:line="240" w:lineRule="auto"/>
            </w:pPr>
            <w:r/>
            <w:r>
              <w:rPr>
                <w:rFonts w:ascii="Arial" w:hAnsi="Arial" w:eastAsia="Arial"/>
                <w:b w:val="0"/>
                <w:color w:val="1F2937"/>
                <w:sz w:val="17"/>
              </w:rPr>
              <w:t>La afiliación cae con mayor intensidad que la referencia poblacional.</w:t>
            </w:r>
          </w:p>
        </w:tc>
      </w:tr>
      <w:tr>
        <w:tc>
          <w:tcPr>
            <w:tcW w:type="dxa" w:w="2376"/>
            <w:vAlign w:val="center"/>
            <w:tcBorders>
              <w:top w:val="single" w:sz="4" w:space="0" w:color="D7DEE8"/>
              <w:left w:val="single" w:sz="4" w:space="0" w:color="D7DEE8"/>
              <w:bottom w:val="single" w:sz="4" w:space="0" w:color="D7DEE8"/>
              <w:right w:val="single" w:sz="4" w:space="0" w:color="D7DEE8"/>
            </w:tcBorders>
            <w:shd w:fill="FFFFFF"/>
          </w:tcPr>
          <w:p>
            <w:pPr>
              <w:spacing w:before="0" w:after="0" w:line="240" w:lineRule="auto"/>
            </w:pPr>
            <w:r/>
            <w:r>
              <w:rPr>
                <w:rFonts w:ascii="Arial" w:hAnsi="Arial" w:eastAsia="Arial"/>
                <w:b/>
                <w:color w:val="1F2937"/>
                <w:sz w:val="17"/>
              </w:rPr>
              <w:t>Primera infancia 0-4</w:t>
            </w:r>
          </w:p>
        </w:tc>
        <w:tc>
          <w:tcPr>
            <w:tcW w:type="dxa" w:w="3384"/>
            <w:vAlign w:val="center"/>
            <w:tcBorders>
              <w:top w:val="single" w:sz="4" w:space="0" w:color="D7DEE8"/>
              <w:left w:val="single" w:sz="4" w:space="0" w:color="D7DEE8"/>
              <w:bottom w:val="single" w:sz="4" w:space="0" w:color="D7DEE8"/>
              <w:right w:val="single" w:sz="4" w:space="0" w:color="D7DEE8"/>
            </w:tcBorders>
            <w:shd w:fill="FFFFFF"/>
          </w:tcPr>
          <w:p>
            <w:pPr>
              <w:spacing w:before="0" w:after="0" w:line="240" w:lineRule="auto"/>
            </w:pPr>
            <w:r/>
            <w:r>
              <w:rPr>
                <w:rFonts w:ascii="Arial" w:hAnsi="Arial" w:eastAsia="Arial"/>
                <w:b w:val="0"/>
                <w:color w:val="1F2937"/>
                <w:sz w:val="17"/>
              </w:rPr>
              <w:t>391.106 → 298.836</w:t>
              <w:br/>
              <w:t>-92.270 afiliados (-23,6%)</w:t>
            </w:r>
          </w:p>
        </w:tc>
        <w:tc>
          <w:tcPr>
            <w:tcW w:type="dxa" w:w="4608"/>
            <w:vAlign w:val="center"/>
            <w:tcBorders>
              <w:top w:val="single" w:sz="4" w:space="0" w:color="D7DEE8"/>
              <w:left w:val="single" w:sz="4" w:space="0" w:color="D7DEE8"/>
              <w:bottom w:val="single" w:sz="4" w:space="0" w:color="D7DEE8"/>
              <w:right w:val="single" w:sz="4" w:space="0" w:color="D7DEE8"/>
            </w:tcBorders>
            <w:shd w:fill="FFFFFF"/>
          </w:tcPr>
          <w:p>
            <w:pPr>
              <w:spacing w:before="0" w:after="0" w:line="240" w:lineRule="auto"/>
            </w:pPr>
            <w:r/>
            <w:r>
              <w:rPr>
                <w:rFonts w:ascii="Arial" w:hAnsi="Arial" w:eastAsia="Arial"/>
                <w:b w:val="0"/>
                <w:color w:val="1F2937"/>
                <w:sz w:val="17"/>
              </w:rPr>
              <w:t>Aporta el 62,0% de la reducción total; grupo más sensible a natalidad reciente.</w:t>
            </w:r>
          </w:p>
        </w:tc>
      </w:tr>
      <w:tr>
        <w:tc>
          <w:tcPr>
            <w:tcW w:type="dxa" w:w="2376"/>
            <w:vAlign w:val="center"/>
            <w:tcBorders>
              <w:top w:val="single" w:sz="4" w:space="0" w:color="D7DEE8"/>
              <w:left w:val="single" w:sz="4" w:space="0" w:color="D7DEE8"/>
              <w:bottom w:val="single" w:sz="4" w:space="0" w:color="D7DEE8"/>
              <w:right w:val="single" w:sz="4" w:space="0" w:color="D7DEE8"/>
            </w:tcBorders>
            <w:shd w:fill="F7FAFC"/>
          </w:tcPr>
          <w:p>
            <w:pPr>
              <w:spacing w:before="0" w:after="0" w:line="240" w:lineRule="auto"/>
            </w:pPr>
            <w:r/>
            <w:r>
              <w:rPr>
                <w:rFonts w:ascii="Arial" w:hAnsi="Arial" w:eastAsia="Arial"/>
                <w:b/>
                <w:color w:val="1F2937"/>
                <w:sz w:val="17"/>
              </w:rPr>
              <w:t>Niñez 5-9</w:t>
            </w:r>
          </w:p>
        </w:tc>
        <w:tc>
          <w:tcPr>
            <w:tcW w:type="dxa" w:w="3384"/>
            <w:vAlign w:val="center"/>
            <w:tcBorders>
              <w:top w:val="single" w:sz="4" w:space="0" w:color="D7DEE8"/>
              <w:left w:val="single" w:sz="4" w:space="0" w:color="D7DEE8"/>
              <w:bottom w:val="single" w:sz="4" w:space="0" w:color="D7DEE8"/>
              <w:right w:val="single" w:sz="4" w:space="0" w:color="D7DEE8"/>
            </w:tcBorders>
            <w:shd w:fill="F7FAFC"/>
          </w:tcPr>
          <w:p>
            <w:pPr>
              <w:spacing w:before="0" w:after="0" w:line="240" w:lineRule="auto"/>
            </w:pPr>
            <w:r/>
            <w:r>
              <w:rPr>
                <w:rFonts w:ascii="Arial" w:hAnsi="Arial" w:eastAsia="Arial"/>
                <w:b w:val="0"/>
                <w:color w:val="1F2937"/>
                <w:sz w:val="17"/>
              </w:rPr>
              <w:t>479.101 → 422.512</w:t>
              <w:br/>
              <w:t>-56.589 afiliados (-11,8%)</w:t>
            </w:r>
          </w:p>
        </w:tc>
        <w:tc>
          <w:tcPr>
            <w:tcW w:type="dxa" w:w="4608"/>
            <w:vAlign w:val="center"/>
            <w:tcBorders>
              <w:top w:val="single" w:sz="4" w:space="0" w:color="D7DEE8"/>
              <w:left w:val="single" w:sz="4" w:space="0" w:color="D7DEE8"/>
              <w:bottom w:val="single" w:sz="4" w:space="0" w:color="D7DEE8"/>
              <w:right w:val="single" w:sz="4" w:space="0" w:color="D7DEE8"/>
            </w:tcBorders>
            <w:shd w:fill="F7FAFC"/>
          </w:tcPr>
          <w:p>
            <w:pPr>
              <w:spacing w:before="0" w:after="0" w:line="240" w:lineRule="auto"/>
            </w:pPr>
            <w:r/>
            <w:r>
              <w:rPr>
                <w:rFonts w:ascii="Arial" w:hAnsi="Arial" w:eastAsia="Arial"/>
                <w:b w:val="0"/>
                <w:color w:val="1F2937"/>
                <w:sz w:val="17"/>
              </w:rPr>
              <w:t>Disminuye, pero con menor intensidad que el grupo 0-4.</w:t>
            </w:r>
          </w:p>
        </w:tc>
      </w:tr>
      <w:tr>
        <w:tc>
          <w:tcPr>
            <w:tcW w:type="dxa" w:w="2376"/>
            <w:vAlign w:val="center"/>
            <w:tcBorders>
              <w:top w:val="single" w:sz="4" w:space="0" w:color="D7DEE8"/>
              <w:left w:val="single" w:sz="4" w:space="0" w:color="D7DEE8"/>
              <w:bottom w:val="single" w:sz="4" w:space="0" w:color="D7DEE8"/>
              <w:right w:val="single" w:sz="4" w:space="0" w:color="D7DEE8"/>
            </w:tcBorders>
            <w:shd w:fill="FFFFFF"/>
          </w:tcPr>
          <w:p>
            <w:pPr>
              <w:spacing w:before="0" w:after="0" w:line="240" w:lineRule="auto"/>
            </w:pPr>
            <w:r/>
            <w:r>
              <w:rPr>
                <w:rFonts w:ascii="Arial" w:hAnsi="Arial" w:eastAsia="Arial"/>
                <w:b/>
                <w:color w:val="1F2937"/>
                <w:sz w:val="17"/>
              </w:rPr>
              <w:t>Brecha DANE-BDUA total 0-9</w:t>
            </w:r>
          </w:p>
        </w:tc>
        <w:tc>
          <w:tcPr>
            <w:tcW w:type="dxa" w:w="3384"/>
            <w:vAlign w:val="center"/>
            <w:tcBorders>
              <w:top w:val="single" w:sz="4" w:space="0" w:color="D7DEE8"/>
              <w:left w:val="single" w:sz="4" w:space="0" w:color="D7DEE8"/>
              <w:bottom w:val="single" w:sz="4" w:space="0" w:color="D7DEE8"/>
              <w:right w:val="single" w:sz="4" w:space="0" w:color="D7DEE8"/>
            </w:tcBorders>
            <w:shd w:fill="FFFFFF"/>
          </w:tcPr>
          <w:p>
            <w:pPr>
              <w:spacing w:before="0" w:after="0" w:line="240" w:lineRule="auto"/>
            </w:pPr>
            <w:r/>
            <w:r>
              <w:rPr>
                <w:rFonts w:ascii="Arial" w:hAnsi="Arial" w:eastAsia="Arial"/>
                <w:b w:val="0"/>
                <w:color w:val="1F2937"/>
                <w:sz w:val="17"/>
              </w:rPr>
              <w:t>337.355 (2021) → 420.754 (2025)</w:t>
              <w:br/>
              <w:t>Relación BDUA/DANE: 72,1% → 63,2%</w:t>
            </w:r>
          </w:p>
        </w:tc>
        <w:tc>
          <w:tcPr>
            <w:tcW w:type="dxa" w:w="4608"/>
            <w:vAlign w:val="center"/>
            <w:tcBorders>
              <w:top w:val="single" w:sz="4" w:space="0" w:color="D7DEE8"/>
              <w:left w:val="single" w:sz="4" w:space="0" w:color="D7DEE8"/>
              <w:bottom w:val="single" w:sz="4" w:space="0" w:color="D7DEE8"/>
              <w:right w:val="single" w:sz="4" w:space="0" w:color="D7DEE8"/>
            </w:tcBorders>
            <w:shd w:fill="FFFFFF"/>
          </w:tcPr>
          <w:p>
            <w:pPr>
              <w:spacing w:before="0" w:after="0" w:line="240" w:lineRule="auto"/>
            </w:pPr>
            <w:r/>
            <w:r>
              <w:rPr>
                <w:rFonts w:ascii="Arial" w:hAnsi="Arial" w:eastAsia="Arial"/>
                <w:b w:val="0"/>
                <w:color w:val="1F2937"/>
                <w:sz w:val="17"/>
              </w:rPr>
              <w:t>La diferencia entre población de referencia y afiliación observada se amplía.</w:t>
            </w:r>
          </w:p>
        </w:tc>
      </w:tr>
      <w:tr>
        <w:tc>
          <w:tcPr>
            <w:tcW w:type="dxa" w:w="2376"/>
            <w:vAlign w:val="center"/>
            <w:tcBorders>
              <w:top w:val="single" w:sz="4" w:space="0" w:color="D7DEE8"/>
              <w:left w:val="single" w:sz="4" w:space="0" w:color="D7DEE8"/>
              <w:bottom w:val="single" w:sz="4" w:space="0" w:color="D7DEE8"/>
              <w:right w:val="single" w:sz="4" w:space="0" w:color="D7DEE8"/>
            </w:tcBorders>
            <w:shd w:fill="F7FAFC"/>
          </w:tcPr>
          <w:p>
            <w:pPr>
              <w:spacing w:before="0" w:after="0" w:line="240" w:lineRule="auto"/>
            </w:pPr>
            <w:r/>
            <w:r>
              <w:rPr>
                <w:rFonts w:ascii="Arial" w:hAnsi="Arial" w:eastAsia="Arial"/>
                <w:b/>
                <w:color w:val="1F2937"/>
                <w:sz w:val="17"/>
              </w:rPr>
              <w:t>Régimen de afiliación</w:t>
            </w:r>
          </w:p>
        </w:tc>
        <w:tc>
          <w:tcPr>
            <w:tcW w:type="dxa" w:w="3384"/>
            <w:vAlign w:val="center"/>
            <w:tcBorders>
              <w:top w:val="single" w:sz="4" w:space="0" w:color="D7DEE8"/>
              <w:left w:val="single" w:sz="4" w:space="0" w:color="D7DEE8"/>
              <w:bottom w:val="single" w:sz="4" w:space="0" w:color="D7DEE8"/>
              <w:right w:val="single" w:sz="4" w:space="0" w:color="D7DEE8"/>
            </w:tcBorders>
            <w:shd w:fill="F7FAFC"/>
          </w:tcPr>
          <w:p>
            <w:pPr>
              <w:spacing w:before="0" w:after="0" w:line="240" w:lineRule="auto"/>
            </w:pPr>
            <w:r/>
            <w:r>
              <w:rPr>
                <w:rFonts w:ascii="Arial" w:hAnsi="Arial" w:eastAsia="Arial"/>
                <w:b w:val="0"/>
                <w:color w:val="1F2937"/>
                <w:sz w:val="17"/>
              </w:rPr>
              <w:t>Contributivo: -175.254 (-25,9%)</w:t>
              <w:br/>
              <w:t>Subsidiado: +26.395 (+13,6%)</w:t>
            </w:r>
          </w:p>
        </w:tc>
        <w:tc>
          <w:tcPr>
            <w:tcW w:type="dxa" w:w="4608"/>
            <w:vAlign w:val="center"/>
            <w:tcBorders>
              <w:top w:val="single" w:sz="4" w:space="0" w:color="D7DEE8"/>
              <w:left w:val="single" w:sz="4" w:space="0" w:color="D7DEE8"/>
              <w:bottom w:val="single" w:sz="4" w:space="0" w:color="D7DEE8"/>
              <w:right w:val="single" w:sz="4" w:space="0" w:color="D7DEE8"/>
            </w:tcBorders>
            <w:shd w:fill="F7FAFC"/>
          </w:tcPr>
          <w:p>
            <w:pPr>
              <w:spacing w:before="0" w:after="0" w:line="240" w:lineRule="auto"/>
            </w:pPr>
            <w:r/>
            <w:r>
              <w:rPr>
                <w:rFonts w:ascii="Arial" w:hAnsi="Arial" w:eastAsia="Arial"/>
                <w:b w:val="0"/>
                <w:color w:val="1F2937"/>
                <w:sz w:val="17"/>
              </w:rPr>
              <w:t>Recomposición hacia mayor participación del subsidiado: 22,4% → 30,7%.</w:t>
            </w:r>
          </w:p>
        </w:tc>
      </w:tr>
      <w:tr>
        <w:tc>
          <w:tcPr>
            <w:tcW w:type="dxa" w:w="2376"/>
            <w:vAlign w:val="center"/>
            <w:tcBorders>
              <w:top w:val="single" w:sz="4" w:space="0" w:color="D7DEE8"/>
              <w:left w:val="single" w:sz="4" w:space="0" w:color="D7DEE8"/>
              <w:bottom w:val="single" w:sz="4" w:space="0" w:color="D7DEE8"/>
              <w:right w:val="single" w:sz="4" w:space="0" w:color="D7DEE8"/>
            </w:tcBorders>
            <w:shd w:fill="FFFFFF"/>
          </w:tcPr>
          <w:p>
            <w:pPr>
              <w:spacing w:before="0" w:after="0" w:line="240" w:lineRule="auto"/>
            </w:pPr>
            <w:r/>
            <w:r>
              <w:rPr>
                <w:rFonts w:ascii="Arial" w:hAnsi="Arial" w:eastAsia="Arial"/>
                <w:b/>
                <w:color w:val="1F2937"/>
                <w:sz w:val="17"/>
              </w:rPr>
              <w:t>Concentración por EPS</w:t>
            </w:r>
          </w:p>
        </w:tc>
        <w:tc>
          <w:tcPr>
            <w:tcW w:type="dxa" w:w="3384"/>
            <w:vAlign w:val="center"/>
            <w:tcBorders>
              <w:top w:val="single" w:sz="4" w:space="0" w:color="D7DEE8"/>
              <w:left w:val="single" w:sz="4" w:space="0" w:color="D7DEE8"/>
              <w:bottom w:val="single" w:sz="4" w:space="0" w:color="D7DEE8"/>
              <w:right w:val="single" w:sz="4" w:space="0" w:color="D7DEE8"/>
            </w:tcBorders>
            <w:shd w:fill="FFFFFF"/>
          </w:tcPr>
          <w:p>
            <w:pPr>
              <w:spacing w:before="0" w:after="0" w:line="240" w:lineRule="auto"/>
            </w:pPr>
            <w:r/>
            <w:r>
              <w:rPr>
                <w:rFonts w:ascii="Arial" w:hAnsi="Arial" w:eastAsia="Arial"/>
                <w:b w:val="0"/>
                <w:color w:val="1F2937"/>
                <w:sz w:val="17"/>
              </w:rPr>
              <w:t>Sanitas, Compensar, Capital Salud, Salud Total y Famisanar agrupan 611.513 afiliados (84,8%)</w:t>
            </w:r>
          </w:p>
        </w:tc>
        <w:tc>
          <w:tcPr>
            <w:tcW w:type="dxa" w:w="4608"/>
            <w:vAlign w:val="center"/>
            <w:tcBorders>
              <w:top w:val="single" w:sz="4" w:space="0" w:color="D7DEE8"/>
              <w:left w:val="single" w:sz="4" w:space="0" w:color="D7DEE8"/>
              <w:bottom w:val="single" w:sz="4" w:space="0" w:color="D7DEE8"/>
              <w:right w:val="single" w:sz="4" w:space="0" w:color="D7DEE8"/>
            </w:tcBorders>
            <w:shd w:fill="FFFFFF"/>
          </w:tcPr>
          <w:p>
            <w:pPr>
              <w:spacing w:before="0" w:after="0" w:line="240" w:lineRule="auto"/>
            </w:pPr>
            <w:r/>
            <w:r>
              <w:rPr>
                <w:rFonts w:ascii="Arial" w:hAnsi="Arial" w:eastAsia="Arial"/>
                <w:b w:val="0"/>
                <w:color w:val="1F2937"/>
                <w:sz w:val="17"/>
              </w:rPr>
              <w:t>Estas EPS concentran la mayor demanda potencial y requieren seguimiento prioritario.</w:t>
            </w:r>
          </w:p>
        </w:tc>
      </w:tr>
    </w:tbl>
    <w:p>
      <w:r>
        <w:br w:type="page"/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0512"/>
      </w:tblGrid>
      <w:tr>
        <w:tc>
          <w:tcPr>
            <w:tcW w:type="dxa" w:w="10656"/>
            <w:shd w:fill="005B96"/>
            <w:tcBorders>
              <w:top w:val="single" w:sz="4" w:space="0" w:color="005B96"/>
              <w:left w:val="single" w:sz="4" w:space="0" w:color="005B96"/>
              <w:bottom w:val="single" w:sz="4" w:space="0" w:color="005B96"/>
              <w:right w:val="single" w:sz="4" w:space="0" w:color="005B96"/>
            </w:tcBorders>
          </w:tcPr>
          <w:p>
            <w:pPr>
              <w:spacing w:before="120" w:after="120"/>
              <w:jc w:val="center"/>
            </w:pPr>
            <w:r>
              <w:rPr>
                <w:rFonts w:ascii="Arial" w:hAnsi="Arial" w:eastAsia="Arial"/>
                <w:b/>
                <w:color w:val="FFFFFF"/>
                <w:sz w:val="24"/>
              </w:rPr>
              <w:t>INFORME EJECUTIVO DE INFANCIA – SÍNTESIS DIRECTIVA</w:t>
              <w:br/>
            </w:r>
            <w:r>
              <w:rPr>
                <w:rFonts w:ascii="Arial" w:hAnsi="Arial" w:eastAsia="Arial"/>
                <w:b w:val="0"/>
                <w:color w:val="FFFFFF"/>
                <w:sz w:val="20"/>
              </w:rPr>
              <w:t>Comportamiento poblacional y afiliación de niños y niñas de 0 a 9 años, Bogotá D.C., 2021-2025</w:t>
            </w:r>
          </w:p>
        </w:tc>
      </w:tr>
    </w:tbl>
    <w:p>
      <w:pPr>
        <w:spacing w:before="100" w:after="80" w:line="240" w:lineRule="auto"/>
      </w:pPr>
      <w:r>
        <w:rPr>
          <w:rFonts w:ascii="Arial" w:hAnsi="Arial" w:eastAsia="Arial"/>
          <w:b/>
          <w:color w:val="005B96"/>
          <w:sz w:val="21"/>
        </w:rPr>
        <w:t>3. Hallazgos ejecutivos</w:t>
      </w:r>
    </w:p>
    <w:p>
      <w:pPr>
        <w:spacing w:after="80" w:line="252" w:lineRule="auto"/>
        <w:ind w:left="259" w:hanging="259"/>
      </w:pPr>
      <w:r>
        <w:rPr>
          <w:rFonts w:ascii="Arial" w:hAnsi="Arial" w:eastAsia="Arial"/>
          <w:b/>
          <w:color w:val="005B96"/>
          <w:sz w:val="20"/>
        </w:rPr>
        <w:t xml:space="preserve">• Reducción de afiliación sostenida y superior a la disminución poblacional DANE. </w:t>
      </w:r>
      <w:r>
        <w:rPr>
          <w:rFonts w:ascii="Arial" w:hAnsi="Arial" w:eastAsia="Arial"/>
          <w:b w:val="0"/>
          <w:color w:val="1F2937"/>
          <w:sz w:val="20"/>
        </w:rPr>
        <w:t>La población DANE 0-9 cae 5,4%, mientras la afiliación BDUA/ADRES se reduce 17,1%, evidenciando una disminución más acelerada en la fuente administrativa.</w:t>
      </w:r>
    </w:p>
    <w:p>
      <w:pPr>
        <w:spacing w:after="80" w:line="252" w:lineRule="auto"/>
        <w:ind w:left="259" w:hanging="259"/>
      </w:pPr>
      <w:r>
        <w:rPr>
          <w:rFonts w:ascii="Arial" w:hAnsi="Arial" w:eastAsia="Arial"/>
          <w:b/>
          <w:color w:val="005B96"/>
          <w:sz w:val="20"/>
        </w:rPr>
        <w:t xml:space="preserve">• Primera infancia como grupo de mayor presión descendente. </w:t>
      </w:r>
      <w:r>
        <w:rPr>
          <w:rFonts w:ascii="Arial" w:hAnsi="Arial" w:eastAsia="Arial"/>
          <w:b w:val="0"/>
          <w:color w:val="1F2937"/>
          <w:sz w:val="20"/>
        </w:rPr>
        <w:t>El grupo 0-4 años disminuye 92.270 registros y explica 62,0% de la caída total, comportamiento compatible con menor entrada de nuevas cohortes, menor natalidad y reducción de fecundidad.</w:t>
      </w:r>
    </w:p>
    <w:p>
      <w:pPr>
        <w:spacing w:after="80" w:line="252" w:lineRule="auto"/>
        <w:ind w:left="259" w:hanging="259"/>
      </w:pPr>
      <w:r>
        <w:rPr>
          <w:rFonts w:ascii="Arial" w:hAnsi="Arial" w:eastAsia="Arial"/>
          <w:b/>
          <w:color w:val="005B96"/>
          <w:sz w:val="20"/>
        </w:rPr>
        <w:t xml:space="preserve">• Recomposición del aseguramiento con enfoque de vulnerabilidad. </w:t>
      </w:r>
      <w:r>
        <w:rPr>
          <w:rFonts w:ascii="Arial" w:hAnsi="Arial" w:eastAsia="Arial"/>
          <w:b w:val="0"/>
          <w:color w:val="1F2937"/>
          <w:sz w:val="20"/>
        </w:rPr>
        <w:t>El contributivo pierde 175.254 afiliados, mientras el subsidiado aumenta 26.395; esto puede reflejar movilidad entre regímenes, inestabilidad laboral de hogares y mayor dependencia del aseguramiento subsidiado.</w:t>
      </w:r>
    </w:p>
    <w:p>
      <w:pPr>
        <w:spacing w:after="80" w:line="252" w:lineRule="auto"/>
        <w:ind w:left="259" w:hanging="259"/>
      </w:pPr>
      <w:r>
        <w:rPr>
          <w:rFonts w:ascii="Arial" w:hAnsi="Arial" w:eastAsia="Arial"/>
          <w:b/>
          <w:color w:val="005B96"/>
          <w:sz w:val="20"/>
        </w:rPr>
        <w:t xml:space="preserve">• EPS prioritarias para gestión del riesgo. </w:t>
      </w:r>
      <w:r>
        <w:rPr>
          <w:rFonts w:ascii="Arial" w:hAnsi="Arial" w:eastAsia="Arial"/>
          <w:b w:val="0"/>
          <w:color w:val="1F2937"/>
          <w:sz w:val="20"/>
        </w:rPr>
        <w:t>Sanitas lidera en 2025 con 149.881 afiliados; las mayores caídas absolutas se observan en Famisanar (-59.228), Compensar (-47.376), Capital Salud (-10.349), Medimás (-9.928) y Sanitas (-9.889).</w:t>
      </w:r>
    </w:p>
    <w:p>
      <w:pPr>
        <w:spacing w:after="80" w:line="252" w:lineRule="auto"/>
        <w:ind w:left="259" w:hanging="259"/>
      </w:pPr>
      <w:r>
        <w:rPr>
          <w:rFonts w:ascii="Arial" w:hAnsi="Arial" w:eastAsia="Arial"/>
          <w:b/>
          <w:color w:val="005B96"/>
          <w:sz w:val="20"/>
        </w:rPr>
        <w:t xml:space="preserve">• Brecha DANE-BDUA con lectura metodológica prudente. </w:t>
      </w:r>
      <w:r>
        <w:rPr>
          <w:rFonts w:ascii="Arial" w:hAnsi="Arial" w:eastAsia="Arial"/>
          <w:b w:val="0"/>
          <w:color w:val="1F2937"/>
          <w:sz w:val="20"/>
        </w:rPr>
        <w:t>La brecha total aumenta de 337.355 a 420.754; puede explicarse por diferencias de fuente, corte, residencia, movilidad, regímenes no incluidos y actualización administrativa, no necesariamente por no afiliación.</w:t>
      </w:r>
    </w:p>
    <w:p>
      <w:pPr>
        <w:spacing w:before="100" w:after="80" w:line="240" w:lineRule="auto"/>
      </w:pPr>
      <w:r>
        <w:rPr>
          <w:rFonts w:ascii="Arial" w:hAnsi="Arial" w:eastAsia="Arial"/>
          <w:b/>
          <w:color w:val="005B96"/>
          <w:sz w:val="21"/>
        </w:rPr>
        <w:t>4. Implicaciones para decisión y seguimiento</w:t>
      </w:r>
    </w:p>
    <w:p>
      <w:pPr>
        <w:spacing w:after="80" w:line="252" w:lineRule="auto"/>
        <w:ind w:left="259" w:hanging="259"/>
      </w:pPr>
      <w:r>
        <w:rPr>
          <w:rFonts w:ascii="Arial" w:hAnsi="Arial" w:eastAsia="Arial"/>
          <w:b w:val="0"/>
          <w:color w:val="1F2937"/>
          <w:sz w:val="20"/>
        </w:rPr>
        <w:t>• Mantener capacidades críticas en vacunación, crecimiento y desarrollo, nutrición, salud oral, salud mental infantil, atención materno-perinatal y redes pediátricas, aunque disminuya la afiliación observada.</w:t>
      </w:r>
    </w:p>
    <w:p>
      <w:pPr>
        <w:spacing w:after="80" w:line="252" w:lineRule="auto"/>
        <w:ind w:left="259" w:hanging="259"/>
      </w:pPr>
      <w:r>
        <w:rPr>
          <w:rFonts w:ascii="Arial" w:hAnsi="Arial" w:eastAsia="Arial"/>
          <w:b w:val="0"/>
          <w:color w:val="1F2937"/>
          <w:sz w:val="20"/>
        </w:rPr>
        <w:t>• Ajustar metas con enfoque de cohortes reales, integrando DANE, estadísticas vitales, SaluData y BDUA/ADRES para evitar subestimar necesidades de atención infantil.</w:t>
      </w:r>
    </w:p>
    <w:p>
      <w:pPr>
        <w:spacing w:after="80" w:line="252" w:lineRule="auto"/>
        <w:ind w:left="259" w:hanging="259"/>
      </w:pPr>
      <w:r>
        <w:rPr>
          <w:rFonts w:ascii="Arial" w:hAnsi="Arial" w:eastAsia="Arial"/>
          <w:b w:val="0"/>
          <w:color w:val="1F2937"/>
          <w:sz w:val="20"/>
        </w:rPr>
        <w:t>• Priorizar seguimiento a EPS con mayor carga y mayores reducciones, verificando continuidad de afiliación, traslados, depuración de registros, movilidad entre regímenes y respuesta de rutas integrales.</w:t>
      </w:r>
    </w:p>
    <w:p>
      <w:pPr>
        <w:spacing w:after="80" w:line="252" w:lineRule="auto"/>
        <w:ind w:left="259" w:hanging="259"/>
      </w:pPr>
      <w:r>
        <w:rPr>
          <w:rFonts w:ascii="Arial" w:hAnsi="Arial" w:eastAsia="Arial"/>
          <w:b w:val="0"/>
          <w:color w:val="1F2937"/>
          <w:sz w:val="20"/>
        </w:rPr>
        <w:t>• Profundizar análisis territorial y diferencial por localidad, sexo, edad simple, régimen, EPS y estado de afiliación para pasar del diagnóstico distrital agregado a una planeación focalizada.</w:t>
      </w:r>
    </w:p>
    <w:p>
      <w:pPr>
        <w:spacing w:before="100" w:after="80" w:line="240" w:lineRule="auto"/>
      </w:pPr>
      <w:r>
        <w:rPr>
          <w:rFonts w:ascii="Arial" w:hAnsi="Arial" w:eastAsia="Arial"/>
          <w:b/>
          <w:color w:val="005B96"/>
          <w:sz w:val="21"/>
        </w:rPr>
        <w:t>5. Mensaje central</w:t>
      </w:r>
    </w:p>
    <w:p>
      <w:pPr>
        <w:spacing w:before="0" w:after="120" w:line="252" w:lineRule="auto"/>
      </w:pPr>
      <w:r>
        <w:rPr>
          <w:rFonts w:ascii="Arial" w:hAnsi="Arial" w:eastAsia="Arial"/>
          <w:b w:val="0"/>
          <w:color w:val="1F2937"/>
          <w:sz w:val="20"/>
        </w:rPr>
        <w:t>La disminución de niños y niñas afiliados de 0 a 9 años en Bogotá D.C. es un fenómeno relevante para la planeación sectorial: combina un contexto demográfico de menor población infantil con una reducción más marcada de la afiliación observada en BDUA/ADRES, especialmente en primera infancia. La respuesta institucional debe equilibrar ajuste de metas, seguimiento nominal y mantenimiento de capacidades esenciales de atención.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0440"/>
      </w:tblGrid>
      <w:tr>
        <w:tc>
          <w:tcPr>
            <w:tcW w:type="dxa" w:w="10656"/>
            <w:shd w:fill="EEF6FF"/>
            <w:tcBorders>
              <w:top w:val="single" w:sz="4" w:space="0" w:color="B9D7F0"/>
              <w:left w:val="single" w:sz="4" w:space="0" w:color="B9D7F0"/>
              <w:bottom w:val="single" w:sz="4" w:space="0" w:color="B9D7F0"/>
              <w:right w:val="single" w:sz="4" w:space="0" w:color="B9D7F0"/>
            </w:tcBorders>
          </w:tcPr>
          <w:p>
            <w:pPr>
              <w:spacing w:before="0" w:after="0" w:line="240" w:lineRule="auto"/>
            </w:pPr>
            <w:r/>
            <w:r>
              <w:rPr>
                <w:rFonts w:ascii="Arial" w:hAnsi="Arial" w:eastAsia="Arial"/>
                <w:b w:val="0"/>
                <w:color w:val="334155"/>
                <w:sz w:val="16"/>
              </w:rPr>
              <w:t>Fuente: Síntesis elaborada a partir del informe final “Comportamiento poblacional y afiliación de niños y niñas de 0 a 9 años, 2021-2025”, con base en DANE, BDUA/ADRES, SaluData y revisión técnica documental. Dirección de Aseguramiento y Garantía del Derecho a la Salud – BDUA/ADRES, corte 31 de diciembre de 2025.</w:t>
            </w:r>
          </w:p>
        </w:tc>
      </w:tr>
    </w:tbl>
    <w:sectPr w:rsidR="00FC693F" w:rsidRPr="0006063C" w:rsidSect="00034616">
      <w:footerReference w:type="default" r:id="rId9"/>
      <w:pgSz w:w="12240" w:h="15840"/>
      <w:pgMar w:top="792" w:right="792" w:bottom="720" w:left="7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center"/>
    </w:pPr>
    <w:r>
      <w:rPr>
        <w:rFonts w:ascii="Arial" w:hAnsi="Arial" w:eastAsia="Arial"/>
        <w:b w:val="0"/>
        <w:color w:val="6B7280"/>
        <w:sz w:val="14"/>
      </w:rPr>
      <w:t>Informe ejecutivo de síntesis – Infancia Bogotá D.C. 2021-2025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80" w:line="252" w:lineRule="auto"/>
    </w:pPr>
    <w:rPr>
      <w:rFonts w:ascii="Arial" w:hAnsi="Arial" w:eastAsia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